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《双鸭山市公共数据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管理暂行办法》政策解读</w:t>
      </w:r>
    </w:p>
    <w:p>
      <w:pPr>
        <w:ind w:left="0" w:leftChars="0" w:firstLine="0" w:firstLineChars="0"/>
        <w:rPr>
          <w:rFonts w:hint="eastAsia"/>
        </w:rPr>
      </w:pPr>
    </w:p>
    <w:p>
      <w:pPr>
        <w:pStyle w:val="3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一、出台背景和意义</w:t>
      </w:r>
    </w:p>
    <w:p>
      <w:pPr>
        <w:rPr>
          <w:rFonts w:hint="eastAsia"/>
        </w:rPr>
      </w:pPr>
      <w:r>
        <w:rPr>
          <w:rFonts w:hint="eastAsia"/>
        </w:rPr>
        <w:t>我市公共数据管理存在职责不清、共享不畅、开放不足、安全风险突出等问题，亟需通过规范性文件明确管理体制、分类分级、共享开放、授权运营及安全责任等内容，提升数据治理能力，释放公共数据要素价值。《双鸭山市公共数据管理暂行办法》</w:t>
      </w:r>
      <w:r>
        <w:rPr>
          <w:rFonts w:hint="default"/>
          <w:lang w:val="en-US" w:eastAsia="zh-CN"/>
        </w:rPr>
        <w:t>(以下简称《</w:t>
      </w:r>
      <w:r>
        <w:rPr>
          <w:rFonts w:hint="eastAsia"/>
          <w:lang w:val="en-US" w:eastAsia="zh-CN"/>
        </w:rPr>
        <w:t>办法</w:t>
      </w:r>
      <w:r>
        <w:rPr>
          <w:rFonts w:hint="default"/>
          <w:lang w:val="en-US" w:eastAsia="zh-CN"/>
        </w:rPr>
        <w:t>》)</w:t>
      </w:r>
      <w:r>
        <w:rPr>
          <w:rFonts w:hint="eastAsia"/>
        </w:rPr>
        <w:t>的核心价值在于为我市公共数据管理建立了“总框架”和“基本法”。它系统回答了公共数据“谁来管、管什么、怎么管”等基础性问题，明确了管理体制、各方职责、平台载体、管理流程和安全底线。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二、起草依据和过程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为加强和规范全市公共数据管理，促进数据要素合规高效流通使用，充分释放公共数据价值，根据《中华人民共和国网络安全法》《中华人民共和国数据安全法》《中华人民共和国个人信息保护法》《政务数据共享条例》《黑龙江省促进大数据发展应用条例》等法律法规，以及《中共中央 国务院关于构建更加完善的要素市场化配置体制机制的意见》《中共中央 国务院关于构建数据基础制度更好发挥数据要素作用的意见》等文件要求，结合我市实际</w:t>
      </w:r>
      <w:r>
        <w:rPr>
          <w:rFonts w:hint="default"/>
          <w:lang w:val="en-US" w:eastAsia="zh-CN"/>
        </w:rPr>
        <w:t>,广泛征求了各位副市长、各相关部门意见建议,形成了《办法》</w:t>
      </w:r>
      <w:r>
        <w:rPr>
          <w:rFonts w:hint="eastAsia"/>
          <w:lang w:val="en-US" w:eastAsia="zh-CN"/>
        </w:rPr>
        <w:t>，并通过了司法局的合法性审核。</w:t>
      </w:r>
    </w:p>
    <w:p>
      <w:pPr>
        <w:pStyle w:val="3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</w:t>
      </w:r>
      <w:r>
        <w:rPr>
          <w:rFonts w:hint="eastAsia" w:ascii="黑体" w:hAnsi="黑体" w:eastAsia="黑体" w:cs="黑体"/>
        </w:rPr>
        <w:t>、主要内容</w:t>
      </w:r>
    </w:p>
    <w:p>
      <w:pPr>
        <w:rPr>
          <w:rFonts w:hint="eastAsia"/>
        </w:rPr>
      </w:pPr>
      <w:r>
        <w:rPr>
          <w:rFonts w:hint="eastAsia"/>
        </w:rPr>
        <w:t>《办法》共十一章七十八条，系统构建了我市公共数据管理体系，主要内容包括：</w:t>
      </w:r>
    </w:p>
    <w:p>
      <w:pPr>
        <w:rPr>
          <w:rFonts w:hint="eastAsia"/>
        </w:rPr>
      </w:pPr>
      <w:r>
        <w:rPr>
          <w:rFonts w:hint="eastAsia"/>
        </w:rPr>
        <w:t>第一部分，总则。明确了制定依据、适用范围、相关术语定义，确立了统筹规划、依法有序、分类分级、高效利用、安全可控的管理原则。</w:t>
      </w:r>
    </w:p>
    <w:p>
      <w:pPr>
        <w:rPr>
          <w:rFonts w:hint="eastAsia"/>
        </w:rPr>
      </w:pPr>
      <w:r>
        <w:rPr>
          <w:rFonts w:hint="eastAsia"/>
        </w:rPr>
        <w:t>第二部分，管理体制和工作体系。确立了市、县（区）人民政府领导、公共数</w:t>
      </w:r>
      <w:bookmarkStart w:id="0" w:name="_GoBack"/>
      <w:bookmarkEnd w:id="0"/>
      <w:r>
        <w:rPr>
          <w:rFonts w:hint="eastAsia"/>
        </w:rPr>
        <w:t>据主管部门统筹管理、公共数据服务机构具体支撑、公共管理和公共服务部门各负其责的管理体制，明确了全市规划和建设公共数据管理平台，作为全市唯一的公共数据汇聚、共享、开放通道。</w:t>
      </w:r>
    </w:p>
    <w:p>
      <w:pPr>
        <w:rPr>
          <w:rFonts w:hint="eastAsia"/>
        </w:rPr>
      </w:pPr>
      <w:r>
        <w:rPr>
          <w:rFonts w:hint="eastAsia"/>
        </w:rPr>
        <w:t>第三部分，公共数据分类分级和目录管理。规定了公共数据分类分级标准制定和责任分工，实行统一的公共数据资源目录管理，明确了目录编制、审核、发布和动态更新机制。</w:t>
      </w:r>
    </w:p>
    <w:p>
      <w:pPr>
        <w:rPr>
          <w:rFonts w:hint="eastAsia"/>
        </w:rPr>
      </w:pPr>
      <w:r>
        <w:rPr>
          <w:rFonts w:hint="eastAsia"/>
        </w:rPr>
        <w:t>第四部分，公共数据采集和汇聚。明确了数据采集遵循合法、必要、适度原则和数据汇聚“全量汇聚、应汇尽汇”原则，规定了数据采集汇聚、治理、质量保障及基础数据库建设要求。</w:t>
      </w:r>
    </w:p>
    <w:p>
      <w:pPr>
        <w:rPr>
          <w:rFonts w:hint="eastAsia"/>
        </w:rPr>
      </w:pPr>
      <w:r>
        <w:rPr>
          <w:rFonts w:hint="eastAsia"/>
        </w:rPr>
        <w:t>第五部分，公共数据共享。确立了“共享为原则，不共享为例外”的共享机制，明确了无条件共享、有条件共享和不予共享三类属性，规范了共享申请、审核、反馈、争议处理和回流机制。</w:t>
      </w:r>
    </w:p>
    <w:p>
      <w:pPr>
        <w:rPr>
          <w:rFonts w:hint="eastAsia"/>
        </w:rPr>
      </w:pPr>
      <w:r>
        <w:rPr>
          <w:rFonts w:hint="eastAsia"/>
        </w:rPr>
        <w:t>第六部分，公共数据开放。规定了公共数据开放的类型（无条件开放、有条件开放、不予开放）和流程，鼓励社会力量对开放数据进行开发利用。</w:t>
      </w:r>
    </w:p>
    <w:p>
      <w:pPr>
        <w:rPr>
          <w:rFonts w:hint="eastAsia"/>
        </w:rPr>
      </w:pPr>
      <w:r>
        <w:rPr>
          <w:rFonts w:hint="eastAsia"/>
        </w:rPr>
        <w:t>第七部分，公共数据资源授权运营。明确了授权运营的原则、范围、模式、实施程序、运营机构遴选与监管要求，明确了公共数据有条件无偿使用和有偿使用的条件。同时，明确全市统一规划建设授权运营平台，县（区）不得独立建设授权运营平台的要求。</w:t>
      </w:r>
    </w:p>
    <w:p>
      <w:pPr>
        <w:rPr>
          <w:rFonts w:hint="eastAsia"/>
        </w:rPr>
      </w:pPr>
      <w:r>
        <w:rPr>
          <w:rFonts w:hint="eastAsia"/>
        </w:rPr>
        <w:t>第八部分，公共数据安全。确立了“谁提供谁负责、谁管理谁负责、谁使用谁负责、谁运营谁负责”的安全责任体系，明确了全生命周期安全管理和应急处置要求。</w:t>
      </w:r>
    </w:p>
    <w:p>
      <w:pPr>
        <w:rPr>
          <w:rFonts w:hint="eastAsia"/>
        </w:rPr>
      </w:pPr>
      <w:r>
        <w:rPr>
          <w:rFonts w:hint="eastAsia"/>
        </w:rPr>
        <w:t>第九部分，监督保障。明确了公共数据监督、评估、登记、经费保障、人才建设等保障要求。</w:t>
      </w:r>
    </w:p>
    <w:p>
      <w:pPr>
        <w:rPr>
          <w:rFonts w:hint="eastAsia"/>
        </w:rPr>
      </w:pPr>
      <w:r>
        <w:rPr>
          <w:rFonts w:hint="eastAsia"/>
        </w:rPr>
        <w:t>第十部分，相关责任。明确了公共管理和服务机构、公共数据主管部门及其工作人员，以及数据利用主体（自然人、法人或者非法人组织）违反本办法规定的相应责任。</w:t>
      </w:r>
    </w:p>
    <w:p>
      <w:r>
        <w:rPr>
          <w:rFonts w:hint="eastAsia"/>
        </w:rPr>
        <w:t>第十一部分，附则。规定了参照执行范围和施行有效期。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E0517"/>
    <w:rsid w:val="1F6F977C"/>
    <w:rsid w:val="1FFE505D"/>
    <w:rsid w:val="24FE3E0A"/>
    <w:rsid w:val="2BEE65A4"/>
    <w:rsid w:val="2DEF1DA3"/>
    <w:rsid w:val="2F7B4647"/>
    <w:rsid w:val="373F716D"/>
    <w:rsid w:val="3B7FAE84"/>
    <w:rsid w:val="3BED3A70"/>
    <w:rsid w:val="3BF61133"/>
    <w:rsid w:val="3BFB163C"/>
    <w:rsid w:val="3D37425B"/>
    <w:rsid w:val="3DFC6212"/>
    <w:rsid w:val="3EEDBB97"/>
    <w:rsid w:val="3F3BDC8F"/>
    <w:rsid w:val="3F7B5526"/>
    <w:rsid w:val="3F7E9996"/>
    <w:rsid w:val="4AFF5DE1"/>
    <w:rsid w:val="4F327009"/>
    <w:rsid w:val="4FA57AA6"/>
    <w:rsid w:val="4FEB9DCB"/>
    <w:rsid w:val="5BEF4A03"/>
    <w:rsid w:val="5BFB2982"/>
    <w:rsid w:val="5D6FE0C1"/>
    <w:rsid w:val="5DB543A6"/>
    <w:rsid w:val="5FE6379E"/>
    <w:rsid w:val="5FFB25AE"/>
    <w:rsid w:val="5FFF712F"/>
    <w:rsid w:val="67F353B4"/>
    <w:rsid w:val="6BF33AB1"/>
    <w:rsid w:val="6E7ECCEF"/>
    <w:rsid w:val="6EEF5B73"/>
    <w:rsid w:val="6FB24733"/>
    <w:rsid w:val="75DD435F"/>
    <w:rsid w:val="779FE4FA"/>
    <w:rsid w:val="77BFAFD5"/>
    <w:rsid w:val="77FD841E"/>
    <w:rsid w:val="78DD03A5"/>
    <w:rsid w:val="7AEBB5DE"/>
    <w:rsid w:val="7AFF03B7"/>
    <w:rsid w:val="7CFC4DB1"/>
    <w:rsid w:val="7D8B8941"/>
    <w:rsid w:val="7DBB70BF"/>
    <w:rsid w:val="7DBFF17D"/>
    <w:rsid w:val="7E2932E3"/>
    <w:rsid w:val="7EA75C0E"/>
    <w:rsid w:val="7EBD1BB9"/>
    <w:rsid w:val="7EC37A2E"/>
    <w:rsid w:val="7F39D461"/>
    <w:rsid w:val="7F3F2E09"/>
    <w:rsid w:val="7F7EB48D"/>
    <w:rsid w:val="7FBEB5A9"/>
    <w:rsid w:val="7FBFD264"/>
    <w:rsid w:val="7FD98FE9"/>
    <w:rsid w:val="7FDF3D20"/>
    <w:rsid w:val="7FE9AA08"/>
    <w:rsid w:val="7FF272EC"/>
    <w:rsid w:val="7FF7C570"/>
    <w:rsid w:val="7FFA3433"/>
    <w:rsid w:val="7FFD6418"/>
    <w:rsid w:val="7FFF46D4"/>
    <w:rsid w:val="7FFF595D"/>
    <w:rsid w:val="8DF32940"/>
    <w:rsid w:val="8FFBF443"/>
    <w:rsid w:val="AFFD71C4"/>
    <w:rsid w:val="B47382C9"/>
    <w:rsid w:val="B5FF7F81"/>
    <w:rsid w:val="B8FFE4D9"/>
    <w:rsid w:val="BBCB8EF1"/>
    <w:rsid w:val="BFB7B2E5"/>
    <w:rsid w:val="BFFF4BE9"/>
    <w:rsid w:val="BFFFCB28"/>
    <w:rsid w:val="CF7AC459"/>
    <w:rsid w:val="D7EF89CE"/>
    <w:rsid w:val="D7F2A3E0"/>
    <w:rsid w:val="DBFF8AC8"/>
    <w:rsid w:val="DF7C7DC6"/>
    <w:rsid w:val="DF9F5781"/>
    <w:rsid w:val="DFBF0B7F"/>
    <w:rsid w:val="DFDED360"/>
    <w:rsid w:val="E5F45178"/>
    <w:rsid w:val="EB9F1BB7"/>
    <w:rsid w:val="EDEDC7AB"/>
    <w:rsid w:val="EDFFF189"/>
    <w:rsid w:val="EE5D7A79"/>
    <w:rsid w:val="EF63544F"/>
    <w:rsid w:val="EFDF9DD0"/>
    <w:rsid w:val="F37D9A91"/>
    <w:rsid w:val="F4AFD077"/>
    <w:rsid w:val="F6F7D181"/>
    <w:rsid w:val="F7670B2E"/>
    <w:rsid w:val="F7EF2E0D"/>
    <w:rsid w:val="F7FFACE4"/>
    <w:rsid w:val="F97F2F68"/>
    <w:rsid w:val="F9EF120E"/>
    <w:rsid w:val="FAA7B27A"/>
    <w:rsid w:val="FB71CFB3"/>
    <w:rsid w:val="FCD5AF9A"/>
    <w:rsid w:val="FD794D7B"/>
    <w:rsid w:val="FDDDBBD6"/>
    <w:rsid w:val="FDF99175"/>
    <w:rsid w:val="FF7FDA9C"/>
    <w:rsid w:val="FF9B5E88"/>
    <w:rsid w:val="FFC07B69"/>
    <w:rsid w:val="FFE71C1D"/>
    <w:rsid w:val="FFE90BD2"/>
    <w:rsid w:val="FFF72E20"/>
    <w:rsid w:val="FFFFD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CESI黑体-GB2312" w:hAnsi="CESI黑体-GB2312" w:eastAsia="CESI黑体-GB231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eastAsia="仿宋_GB2312" w:cs="Times New Roman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仿宋_GB2312" w:cs="Times New Roman"/>
      <w:b/>
      <w:kern w:val="2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ascii="CESI楷体-GB2312" w:hAnsi="CESI楷体-GB2312" w:eastAsia="CESI楷体-GB2312" w:cs="Times New Roman"/>
      <w:kern w:val="2"/>
      <w:sz w:val="2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作者"/>
    <w:basedOn w:val="1"/>
    <w:next w:val="1"/>
    <w:qFormat/>
    <w:uiPriority w:val="0"/>
    <w:pPr>
      <w:ind w:firstLine="0" w:firstLineChars="0"/>
      <w:jc w:val="center"/>
    </w:pPr>
    <w:rPr>
      <w:rFonts w:ascii="楷体_GB2312" w:hAnsi="楷体_GB2312" w:eastAsia="楷体_GB2312" w:cs="楷体_GB2312"/>
      <w:sz w:val="32"/>
    </w:rPr>
  </w:style>
  <w:style w:type="paragraph" w:customStyle="1" w:styleId="13">
    <w:name w:val="落款"/>
    <w:basedOn w:val="1"/>
    <w:next w:val="1"/>
    <w:qFormat/>
    <w:uiPriority w:val="0"/>
    <w:pPr>
      <w:bidi w:val="0"/>
      <w:ind w:left="0" w:leftChars="0" w:right="1280" w:rightChars="400" w:firstLine="0" w:firstLineChars="0"/>
      <w:jc w:val="right"/>
    </w:pPr>
    <w:rPr>
      <w:rFonts w:ascii="仿宋_GB2312" w:hAnsi="仿宋_GB2312"/>
    </w:rPr>
  </w:style>
  <w:style w:type="paragraph" w:customStyle="1" w:styleId="14">
    <w:name w:val="样式1"/>
    <w:basedOn w:val="1"/>
    <w:qFormat/>
    <w:uiPriority w:val="0"/>
    <w:pPr>
      <w:spacing w:line="280" w:lineRule="exact"/>
      <w:ind w:firstLine="883" w:firstLineChars="200"/>
      <w:outlineLvl w:val="9"/>
    </w:pPr>
    <w:rPr>
      <w:rFonts w:ascii="Times New Roman" w:hAnsi="Times New Roman" w:eastAsia="宋体" w:cs="Times New Roman"/>
      <w:kern w:val="2"/>
      <w:sz w:val="32"/>
    </w:rPr>
  </w:style>
  <w:style w:type="character" w:customStyle="1" w:styleId="15">
    <w:name w:val="标题 3 Char"/>
    <w:link w:val="4"/>
    <w:qFormat/>
    <w:uiPriority w:val="0"/>
    <w:rPr>
      <w:rFonts w:ascii="楷体_GB2312" w:hAnsi="楷体_GB2312" w:eastAsia="楷体_GB2312" w:cs="Times New Roman"/>
    </w:rPr>
  </w:style>
  <w:style w:type="paragraph" w:customStyle="1" w:styleId="16">
    <w:name w:val="居中标题2"/>
    <w:basedOn w:val="3"/>
    <w:next w:val="1"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2024-10-10T16:49:00Z</dcterms:created>
  <dc:creator>UNIS</dc:creator>
  <cp:lastModifiedBy>inspur</cp:lastModifiedBy>
  <dcterms:modified xsi:type="dcterms:W3CDTF">2026-02-12T10:10:47Z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AFC271122B7818CF403E67694231E3F5_43</vt:lpwstr>
  </property>
</Properties>
</file>