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第</w:t>
      </w:r>
      <w:r>
        <w:rPr>
          <w:rFonts w:ascii="Times New Roman" w:hAnsi="Times New Roman" w:eastAsia="方正小标宋简体" w:cs="Times New Roman"/>
          <w:b w:val="0"/>
          <w:bCs w:val="0"/>
          <w:color w:val="auto"/>
          <w:kern w:val="0"/>
          <w:sz w:val="44"/>
          <w:szCs w:val="44"/>
          <w:lang w:val="en-US" w:eastAsia="zh-CN"/>
        </w:rPr>
        <w:t>三轮省级生态</w:t>
      </w:r>
      <w:r>
        <w:rPr>
          <w:rFonts w:ascii="Times New Roman" w:hAnsi="Times New Roman" w:eastAsia="方正小标宋简体" w:cs="Times New Roman"/>
          <w:b w:val="0"/>
          <w:bCs w:val="0"/>
          <w:color w:val="auto"/>
          <w:kern w:val="0"/>
          <w:sz w:val="44"/>
          <w:szCs w:val="44"/>
          <w:lang w:eastAsia="zh-CN"/>
        </w:rPr>
        <w:t>环境保护督察第</w:t>
      </w:r>
      <w:r>
        <w:rPr>
          <w:rFonts w:hint="eastAsia" w:ascii="Times New Roman" w:hAnsi="Times New Roman" w:eastAsia="方正小标宋简体" w:cs="Times New Roman"/>
          <w:color w:val="auto"/>
          <w:sz w:val="44"/>
          <w:szCs w:val="44"/>
          <w:vertAlign w:val="baseline"/>
          <w:lang w:val="en-US" w:eastAsia="zh-CN"/>
        </w:rPr>
        <w:t>45</w:t>
      </w:r>
      <w:r>
        <w:rPr>
          <w:rFonts w:ascii="Times New Roman" w:hAnsi="Times New Roman" w:eastAsia="方正小标宋简体" w:cs="Times New Roman"/>
          <w:b w:val="0"/>
          <w:bCs w:val="0"/>
          <w:color w:val="auto"/>
          <w:kern w:val="0"/>
          <w:sz w:val="44"/>
          <w:szCs w:val="44"/>
          <w:lang w:eastAsia="zh-CN"/>
        </w:rPr>
        <w:t>项</w:t>
      </w:r>
      <w:r>
        <w:rPr>
          <w:rFonts w:hint="eastAsia" w:ascii="Times New Roman" w:hAnsi="Times New Roman" w:eastAsia="方正小标宋简体" w:cs="Times New Roman"/>
          <w:b w:val="0"/>
          <w:bCs w:val="0"/>
          <w:color w:val="auto"/>
          <w:kern w:val="0"/>
          <w:sz w:val="44"/>
          <w:szCs w:val="44"/>
          <w:lang w:val="en-US" w:eastAsia="zh-CN"/>
        </w:rPr>
        <w:t>问题</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b w:val="0"/>
          <w:bCs w:val="0"/>
          <w:color w:val="auto"/>
          <w:kern w:val="0"/>
          <w:sz w:val="44"/>
          <w:szCs w:val="44"/>
          <w:lang w:eastAsia="zh-CN"/>
        </w:rPr>
        <w:t>整改</w:t>
      </w:r>
      <w:r>
        <w:rPr>
          <w:rFonts w:hint="eastAsia" w:ascii="Times New Roman" w:hAnsi="Times New Roman" w:eastAsia="方正小标宋简体" w:cs="Times New Roman"/>
          <w:b w:val="0"/>
          <w:bCs w:val="0"/>
          <w:color w:val="auto"/>
          <w:kern w:val="0"/>
          <w:sz w:val="44"/>
          <w:szCs w:val="44"/>
          <w:lang w:val="en-US" w:eastAsia="zh-CN"/>
        </w:rPr>
        <w:t>验收</w:t>
      </w:r>
      <w:r>
        <w:rPr>
          <w:rFonts w:ascii="Times New Roman" w:hAnsi="Times New Roman" w:eastAsia="方正小标宋简体" w:cs="Times New Roman"/>
          <w:b w:val="0"/>
          <w:bCs w:val="0"/>
          <w:color w:val="auto"/>
          <w:kern w:val="0"/>
          <w:sz w:val="44"/>
          <w:szCs w:val="44"/>
          <w:lang w:val="en-US" w:eastAsia="zh-CN"/>
        </w:rPr>
        <w:t>销号</w:t>
      </w:r>
      <w:r>
        <w:rPr>
          <w:rFonts w:ascii="Times New Roman" w:hAnsi="Times New Roman" w:eastAsia="方正小标宋简体" w:cs="Times New Roman"/>
          <w:color w:val="auto"/>
          <w:sz w:val="44"/>
          <w:szCs w:val="44"/>
        </w:rPr>
        <w:t>公示</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Times New Roman" w:hAnsi="Times New Roman" w:eastAsia="楷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highlight w:val="none"/>
          <w:lang w:val="en-US" w:eastAsia="zh-CN"/>
        </w:rPr>
        <w:t>我</w:t>
      </w:r>
      <w:r>
        <w:rPr>
          <w:rFonts w:ascii="Times New Roman" w:hAnsi="Times New Roman" w:eastAsia="仿宋_GB2312" w:cs="Times New Roman"/>
          <w:color w:val="auto"/>
          <w:sz w:val="32"/>
          <w:szCs w:val="32"/>
          <w:highlight w:val="none"/>
          <w:lang w:val="en-US" w:eastAsia="zh-CN"/>
        </w:rPr>
        <w:t>局</w:t>
      </w:r>
      <w:r>
        <w:rPr>
          <w:rFonts w:hint="eastAsia" w:ascii="仿宋_GB2312" w:eastAsia="仿宋_GB2312" w:cs="Times New Roman"/>
          <w:color w:val="auto"/>
          <w:kern w:val="0"/>
          <w:sz w:val="32"/>
          <w:szCs w:val="32"/>
          <w:highlight w:val="none"/>
        </w:rPr>
        <w:t>已完成</w:t>
      </w:r>
      <w:r>
        <w:rPr>
          <w:rFonts w:hint="eastAsia" w:ascii="仿宋_GB2312" w:eastAsia="仿宋_GB2312" w:cs="Times New Roman"/>
          <w:color w:val="auto"/>
          <w:kern w:val="0"/>
          <w:sz w:val="32"/>
          <w:szCs w:val="32"/>
          <w:highlight w:val="none"/>
          <w:lang w:val="en-US" w:eastAsia="zh-CN"/>
        </w:rPr>
        <w:t>第三轮省级生态环境保护督察</w:t>
      </w:r>
      <w:r>
        <w:rPr>
          <w:rFonts w:hint="eastAsia" w:ascii="仿宋_GB2312" w:eastAsia="仿宋_GB2312" w:cs="Times New Roman"/>
          <w:color w:val="auto"/>
          <w:kern w:val="0"/>
          <w:sz w:val="32"/>
          <w:szCs w:val="32"/>
          <w:highlight w:val="none"/>
        </w:rPr>
        <w:t>第</w:t>
      </w:r>
      <w:r>
        <w:rPr>
          <w:rFonts w:hint="eastAsia" w:ascii="仿宋_GB2312" w:eastAsia="仿宋_GB2312" w:cs="Times New Roman"/>
          <w:color w:val="auto"/>
          <w:kern w:val="0"/>
          <w:sz w:val="32"/>
          <w:szCs w:val="32"/>
          <w:highlight w:val="none"/>
          <w:lang w:val="en-US" w:eastAsia="zh-CN"/>
        </w:rPr>
        <w:t>45</w:t>
      </w:r>
      <w:r>
        <w:rPr>
          <w:rFonts w:hint="eastAsia" w:ascii="仿宋_GB2312" w:eastAsia="仿宋_GB2312" w:cs="Times New Roman"/>
          <w:color w:val="auto"/>
          <w:kern w:val="0"/>
          <w:sz w:val="32"/>
          <w:szCs w:val="32"/>
          <w:highlight w:val="none"/>
        </w:rPr>
        <w:t>项问题</w:t>
      </w:r>
      <w:r>
        <w:rPr>
          <w:rFonts w:hint="eastAsia" w:ascii="仿宋_GB2312" w:eastAsia="仿宋_GB2312" w:cs="Times New Roman"/>
          <w:color w:val="auto"/>
          <w:kern w:val="0"/>
          <w:sz w:val="32"/>
          <w:szCs w:val="32"/>
          <w:highlight w:val="none"/>
          <w:lang w:val="en-US" w:eastAsia="zh-CN"/>
        </w:rPr>
        <w:t>整改。按照</w:t>
      </w:r>
      <w:r>
        <w:rPr>
          <w:rFonts w:hint="eastAsia" w:ascii="仿宋_GB2312" w:eastAsia="仿宋_GB2312" w:cs="Times New Roman"/>
          <w:color w:val="auto"/>
          <w:sz w:val="32"/>
          <w:szCs w:val="32"/>
          <w:highlight w:val="none"/>
          <w:lang w:val="en-US" w:eastAsia="zh-CN"/>
        </w:rPr>
        <w:t>《双鸭山市中央生态环境保护督察整改任务验收销号办法（试行）》规定，向</w:t>
      </w:r>
      <w:r>
        <w:rPr>
          <w:rFonts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生态环境保护和督察工作委员会</w:t>
      </w:r>
      <w:r>
        <w:rPr>
          <w:rFonts w:hint="eastAsia" w:ascii="仿宋_GB2312" w:eastAsia="仿宋_GB2312" w:cs="Times New Roman"/>
          <w:color w:val="auto"/>
          <w:sz w:val="32"/>
          <w:szCs w:val="32"/>
          <w:highlight w:val="none"/>
          <w:lang w:val="en-US" w:eastAsia="zh-CN"/>
        </w:rPr>
        <w:t>报送了验收销号报告，双鸭山市生态环境局开展了</w:t>
      </w:r>
      <w:r>
        <w:rPr>
          <w:rFonts w:hint="eastAsia" w:ascii="仿宋_GB2312" w:eastAsia="仿宋_GB2312" w:cs="Times New Roman"/>
          <w:color w:val="auto"/>
          <w:kern w:val="0"/>
          <w:sz w:val="32"/>
          <w:szCs w:val="32"/>
          <w:highlight w:val="none"/>
          <w:lang w:val="en-US" w:eastAsia="zh-CN"/>
        </w:rPr>
        <w:t>验收，</w:t>
      </w:r>
      <w:r>
        <w:rPr>
          <w:rFonts w:ascii="仿宋_GB2312" w:eastAsia="仿宋_GB2312" w:cs="Times New Roman"/>
          <w:color w:val="auto"/>
          <w:kern w:val="0"/>
          <w:sz w:val="32"/>
          <w:szCs w:val="32"/>
          <w:highlight w:val="none"/>
          <w:lang w:val="en-US" w:eastAsia="zh-CN"/>
        </w:rPr>
        <w:t>市</w:t>
      </w:r>
      <w:r>
        <w:rPr>
          <w:rFonts w:hint="eastAsia" w:ascii="仿宋_GB2312" w:eastAsia="仿宋_GB2312" w:cs="Times New Roman"/>
          <w:color w:val="auto"/>
          <w:sz w:val="32"/>
          <w:szCs w:val="32"/>
          <w:highlight w:val="none"/>
          <w:lang w:val="en-US" w:eastAsia="zh-CN"/>
        </w:rPr>
        <w:t>生态环境</w:t>
      </w:r>
      <w:r>
        <w:rPr>
          <w:rFonts w:ascii="仿宋_GB2312" w:eastAsia="仿宋_GB2312" w:cs="Times New Roman"/>
          <w:color w:val="auto"/>
          <w:sz w:val="32"/>
          <w:szCs w:val="32"/>
          <w:highlight w:val="none"/>
          <w:lang w:val="en-US" w:eastAsia="zh-CN"/>
        </w:rPr>
        <w:t>保护</w:t>
      </w:r>
      <w:r>
        <w:rPr>
          <w:rFonts w:hint="eastAsia" w:ascii="Times New Roman" w:hAnsi="Times New Roman" w:eastAsia="仿宋_GB2312" w:cs="Times New Roman"/>
          <w:color w:val="auto"/>
          <w:sz w:val="32"/>
          <w:szCs w:val="32"/>
          <w:highlight w:val="none"/>
          <w:lang w:val="en-US" w:eastAsia="zh-CN"/>
        </w:rPr>
        <w:t>和督察工作委员会</w:t>
      </w:r>
      <w:r>
        <w:rPr>
          <w:rFonts w:hint="eastAsia" w:ascii="仿宋_GB2312" w:eastAsia="仿宋_GB2312" w:cs="Times New Roman"/>
          <w:color w:val="auto"/>
          <w:sz w:val="32"/>
          <w:szCs w:val="32"/>
          <w:highlight w:val="none"/>
          <w:lang w:val="en-US" w:eastAsia="zh-CN"/>
        </w:rPr>
        <w:t>进行了审核，该项整改任务拟销号，现将整改验收销号情况向社会公示：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一、整改任务</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ascii="Times New Roman" w:hAnsi="Times New Roman" w:eastAsia="黑体" w:cs="Times New Roman"/>
          <w:color w:val="auto"/>
          <w:sz w:val="32"/>
          <w:szCs w:val="32"/>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2024年1—7月，双鸭山市PM</w:t>
      </w:r>
      <w:r>
        <w:rPr>
          <w:rFonts w:hint="eastAsia" w:ascii="仿宋_GB2312" w:hAnsi="仿宋_GB2312" w:eastAsia="仿宋_GB2312" w:cs="仿宋_GB2312"/>
          <w:color w:val="000000" w:themeColor="text1"/>
          <w:spacing w:val="6"/>
          <w:kern w:val="2"/>
          <w:sz w:val="32"/>
          <w:szCs w:val="32"/>
          <w:vertAlign w:val="subscript"/>
          <w:lang w:val="en-US" w:eastAsia="zh-CN" w:bidi="ar-SA"/>
          <w14:textFill>
            <w14:solidFill>
              <w14:schemeClr w14:val="tx1"/>
            </w14:solidFill>
          </w14:textFill>
        </w:rPr>
        <w:t>2.5</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为30微克/立方米，同比升高11.1%。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二、整改目标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64" w:firstLineChars="200"/>
        <w:jc w:val="both"/>
        <w:textAlignment w:val="auto"/>
        <w:rPr>
          <w:rFonts w:hint="eastAsia" w:ascii="仿宋_GB2312" w:hAnsi="仿宋_GB2312" w:eastAsia="仿宋_GB2312" w:cs="仿宋_GB2312"/>
          <w:b w:val="0"/>
          <w:bCs w:val="0"/>
          <w:color w:val="auto"/>
          <w:spacing w:val="6"/>
          <w:w w:val="100"/>
          <w:sz w:val="32"/>
          <w:szCs w:val="32"/>
          <w:highlight w:val="none"/>
        </w:rPr>
      </w:pPr>
      <w:r>
        <w:rPr>
          <w:rFonts w:hint="eastAsia" w:ascii="仿宋_GB2312" w:hAnsi="仿宋_GB2312" w:eastAsia="仿宋_GB2312" w:cs="仿宋_GB2312"/>
          <w:b w:val="0"/>
          <w:bCs w:val="0"/>
          <w:color w:val="auto"/>
          <w:spacing w:val="6"/>
          <w:w w:val="100"/>
          <w:sz w:val="32"/>
          <w:szCs w:val="32"/>
          <w:highlight w:val="none"/>
        </w:rPr>
        <w:t>PM</w:t>
      </w:r>
      <w:r>
        <w:rPr>
          <w:rFonts w:hint="eastAsia" w:ascii="仿宋_GB2312" w:hAnsi="仿宋_GB2312" w:eastAsia="仿宋_GB2312" w:cs="仿宋_GB2312"/>
          <w:b w:val="0"/>
          <w:bCs w:val="0"/>
          <w:color w:val="auto"/>
          <w:spacing w:val="6"/>
          <w:w w:val="100"/>
          <w:sz w:val="32"/>
          <w:szCs w:val="32"/>
          <w:highlight w:val="none"/>
          <w:vertAlign w:val="subscript"/>
        </w:rPr>
        <w:t>2.5</w:t>
      </w:r>
      <w:r>
        <w:rPr>
          <w:rFonts w:hint="eastAsia" w:ascii="仿宋_GB2312" w:hAnsi="仿宋_GB2312" w:eastAsia="仿宋_GB2312" w:cs="仿宋_GB2312"/>
          <w:b w:val="0"/>
          <w:bCs w:val="0"/>
          <w:color w:val="auto"/>
          <w:spacing w:val="6"/>
          <w:w w:val="100"/>
          <w:sz w:val="32"/>
          <w:szCs w:val="32"/>
          <w:highlight w:val="none"/>
        </w:rPr>
        <w:t>浓度达到年度考核目标。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ascii="Times New Roman" w:hAnsi="Times New Roman" w:eastAsia="黑体" w:cs="Times New Roman"/>
          <w:color w:val="auto"/>
          <w:sz w:val="32"/>
          <w:szCs w:val="32"/>
        </w:rPr>
        <w:t>整改措施</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1.加强秸秆禁烧管控，制定《秸秆禁烧管控工作提醒函发放制度》《秸秆禁烧管控督查自查工作方案》，成立市级6个督查组对分管区域开展督查巡查。</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2.落实重污染天气应对值班值守制度，密切关注空气质量变化，根据省、市空气质量预报信息，及时组织县（区）做好重污染天气应对工作。</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ascii="Times New Roman" w:hAnsi="Times New Roman" w:eastAsia="黑体" w:cs="Times New Roman"/>
          <w:color w:val="auto"/>
          <w:sz w:val="32"/>
          <w:szCs w:val="32"/>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3.强化工作合力，市大气污染防治行动联席会议办公室组织成员单位协同做好扬尘污染整治、燃煤污染控制和移动源污染治理等大气污染防治工作，保障全市环境空气质量，确保PM</w:t>
      </w:r>
      <w:r>
        <w:rPr>
          <w:rFonts w:hint="eastAsia" w:ascii="仿宋_GB2312" w:hAnsi="仿宋_GB2312" w:eastAsia="仿宋_GB2312" w:cs="仿宋_GB2312"/>
          <w:color w:val="000000" w:themeColor="text1"/>
          <w:spacing w:val="6"/>
          <w:kern w:val="2"/>
          <w:sz w:val="32"/>
          <w:szCs w:val="32"/>
          <w:vertAlign w:val="subscript"/>
          <w:lang w:val="en-US" w:eastAsia="zh-CN" w:bidi="ar-SA"/>
          <w14:textFill>
            <w14:solidFill>
              <w14:schemeClr w14:val="tx1"/>
            </w14:solidFill>
          </w14:textFill>
        </w:rPr>
        <w:t>2.5</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浓度达到年度考核目标。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四、整改主要工作及成效</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1.市秸秆禁烧管控和综合利用工作调度机制办公室制定了《双鸭山市2024年春季秸秆禁烧管控和综合利用督查自查工作方案》，成立由生态环境、农业农村、公安、交通、林草、气象等部门组成的6个督查组对分管区域开展督查巡查，2024年春季秸秆禁烧管控中出动人员1101人，督查乡镇544个（次），村屯790个（次），督查里程23865公里。制定了《双鸭山市生态环境系统2024年春季秸秆禁烧管控和综合利用督查巡查实施方案》，成立由生态环境局党组成员为组长的5个督查指导组，对县（区）进行督查巡查。印发《关于加强双鸭山市春季秸秆禁烧管控和综合利用督查巡查工作的通知》。共下发秸秆禁烧管控预警函2次、工作提示2次、提醒函1次。各县（区）、各督查组第一时间采取联动管控措施进行应对，未因秸秆露天焚烧产生重污染天气。</w:t>
      </w:r>
    </w:p>
    <w:p>
      <w:pPr>
        <w:pStyle w:val="4"/>
        <w:keepNext w:val="0"/>
        <w:keepLines w:val="0"/>
        <w:pageBreakBefore w:val="0"/>
        <w:widowControl w:val="0"/>
        <w:kinsoku/>
        <w:wordWrap/>
        <w:overflowPunct/>
        <w:topLinePunct w:val="0"/>
        <w:autoSpaceDE/>
        <w:autoSpaceDN/>
        <w:bidi w:val="0"/>
        <w:adjustRightInd/>
        <w:snapToGrid/>
        <w:spacing w:after="0" w:line="576" w:lineRule="exact"/>
        <w:ind w:left="0" w:leftChars="0" w:firstLine="664" w:firstLineChars="200"/>
        <w:jc w:val="both"/>
        <w:textAlignment w:val="auto"/>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2.开展环境空气质量“麻雀战”，成立了环境空气质量保障攻坚小组，落实24小时值班值守制度，专人紧盯AQI小时数据、分钟数据，针对异常数据变化开展站点周边执法检查。组织县区完成了空气自动监测站点周边污染源画像工作，加密与气象部门会商频次，及时发布相关预警或通知，强化了空气质量保障的工作能力。</w:t>
      </w: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jc w:val="both"/>
        <w:textAlignment w:val="auto"/>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3.制</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定了《双鸭山市空气质量持续改善行动计划实施方案》，通过全年工作，未出现重污染天气。我局制定了《双鸭山市扬尘污染综合整治方案》，通过组织县（区）开展排查，发现并整改重点扬尘源问题6个，同时制定《2024年双鸭山市大气污染防治“冬病夏治”专项行动方案》，通过淘汰燃煤锅炉、优化能源结构，完成散煤削减替代0.8063万吨、抽测重型柴油车691辆和非道路移动机械206辆，合格率100%。2024年度我市PM</w:t>
      </w:r>
      <w:r>
        <w:rPr>
          <w:rFonts w:hint="eastAsia" w:ascii="仿宋_GB2312" w:hAnsi="仿宋_GB2312" w:eastAsia="仿宋_GB2312" w:cs="仿宋_GB2312"/>
          <w:color w:val="000000" w:themeColor="text1"/>
          <w:spacing w:val="6"/>
          <w:kern w:val="2"/>
          <w:sz w:val="32"/>
          <w:szCs w:val="32"/>
          <w:vertAlign w:val="subscript"/>
          <w:lang w:val="en-US" w:eastAsia="zh-CN" w:bidi="ar-SA"/>
          <w14:textFill>
            <w14:solidFill>
              <w14:schemeClr w14:val="tx1"/>
            </w14:solidFill>
          </w14:textFill>
        </w:rPr>
        <w:t>2.5</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浓度指标达到省级考核标准。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五、验收</w:t>
      </w:r>
      <w:r>
        <w:rPr>
          <w:rFonts w:hint="eastAsia" w:ascii="Times New Roman" w:hAnsi="Times New Roman" w:eastAsia="黑体" w:cs="Times New Roman"/>
          <w:color w:val="auto"/>
          <w:sz w:val="32"/>
          <w:szCs w:val="32"/>
          <w:lang w:val="en-US" w:eastAsia="zh-CN"/>
        </w:rPr>
        <w:t>审核</w:t>
      </w:r>
      <w:r>
        <w:rPr>
          <w:rFonts w:ascii="Times New Roman" w:hAnsi="Times New Roman" w:eastAsia="黑体" w:cs="Times New Roman"/>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经验收审核，达到销号标准。</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公示时间</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cs="Times New Roman"/>
          <w:color w:val="auto"/>
          <w:kern w:val="0"/>
          <w:sz w:val="32"/>
          <w:szCs w:val="32"/>
        </w:rPr>
      </w:pPr>
      <w:r>
        <w:rPr>
          <w:rFonts w:hint="eastAsia" w:ascii="Times New Roman" w:hAnsi="Times New Roman" w:eastAsia="黑体" w:cs="Times New Roman"/>
          <w:color w:val="auto"/>
          <w:sz w:val="32"/>
          <w:szCs w:val="32"/>
          <w:lang w:val="en-US" w:eastAsia="zh-CN"/>
        </w:rPr>
        <w:t>2026</w:t>
      </w:r>
      <w:r>
        <w:rPr>
          <w:rFonts w:hint="eastAsia" w:ascii="仿宋_GB2312" w:eastAsia="仿宋_GB2312" w:cs="Times New Roman"/>
          <w:color w:val="auto"/>
          <w:kern w:val="0"/>
          <w:sz w:val="32"/>
          <w:szCs w:val="32"/>
        </w:rPr>
        <w:t>年</w:t>
      </w:r>
      <w:r>
        <w:rPr>
          <w:rFonts w:hint="eastAsia" w:ascii="仿宋_GB2312" w:eastAsia="仿宋_GB2312" w:cs="Times New Roman"/>
          <w:color w:val="auto"/>
          <w:kern w:val="0"/>
          <w:sz w:val="32"/>
          <w:szCs w:val="32"/>
          <w:lang w:val="en-US" w:eastAsia="zh-CN"/>
        </w:rPr>
        <w:t>2</w:t>
      </w:r>
      <w:r>
        <w:rPr>
          <w:rFonts w:hint="eastAsia" w:ascii="仿宋_GB2312" w:eastAsia="仿宋_GB2312" w:cs="Times New Roman"/>
          <w:color w:val="auto"/>
          <w:kern w:val="0"/>
          <w:sz w:val="32"/>
          <w:szCs w:val="32"/>
        </w:rPr>
        <w:t>月</w:t>
      </w:r>
      <w:r>
        <w:rPr>
          <w:rFonts w:hint="eastAsia" w:ascii="仿宋_GB2312" w:eastAsia="仿宋_GB2312" w:cs="Times New Roman"/>
          <w:color w:val="auto"/>
          <w:kern w:val="0"/>
          <w:sz w:val="32"/>
          <w:szCs w:val="32"/>
          <w:lang w:val="en-US" w:eastAsia="zh-CN"/>
        </w:rPr>
        <w:t>2</w:t>
      </w:r>
      <w:r>
        <w:rPr>
          <w:rFonts w:hint="eastAsia" w:ascii="仿宋_GB2312" w:eastAsia="仿宋_GB2312" w:cs="Times New Roman"/>
          <w:color w:val="auto"/>
          <w:kern w:val="0"/>
          <w:sz w:val="32"/>
          <w:szCs w:val="32"/>
        </w:rPr>
        <w:t>日至</w:t>
      </w:r>
      <w:r>
        <w:rPr>
          <w:rFonts w:hint="eastAsia" w:ascii="仿宋_GB2312" w:eastAsia="仿宋_GB2312" w:cs="Times New Roman"/>
          <w:color w:val="auto"/>
          <w:kern w:val="0"/>
          <w:sz w:val="32"/>
          <w:szCs w:val="32"/>
          <w:lang w:val="en-US" w:eastAsia="zh-CN"/>
        </w:rPr>
        <w:t>2026</w:t>
      </w:r>
      <w:r>
        <w:rPr>
          <w:rFonts w:hint="eastAsia" w:ascii="仿宋_GB2312" w:eastAsia="仿宋_GB2312" w:cs="Times New Roman"/>
          <w:color w:val="auto"/>
          <w:kern w:val="0"/>
          <w:sz w:val="32"/>
          <w:szCs w:val="32"/>
        </w:rPr>
        <w:t>年</w:t>
      </w:r>
      <w:r>
        <w:rPr>
          <w:rFonts w:hint="eastAsia" w:ascii="仿宋_GB2312" w:eastAsia="仿宋_GB2312" w:cs="Times New Roman"/>
          <w:color w:val="auto"/>
          <w:kern w:val="0"/>
          <w:sz w:val="32"/>
          <w:szCs w:val="32"/>
          <w:lang w:val="en-US" w:eastAsia="zh-CN"/>
        </w:rPr>
        <w:t>2</w:t>
      </w:r>
      <w:r>
        <w:rPr>
          <w:rFonts w:hint="eastAsia" w:ascii="仿宋_GB2312" w:eastAsia="仿宋_GB2312" w:cs="Times New Roman"/>
          <w:color w:val="auto"/>
          <w:kern w:val="0"/>
          <w:sz w:val="32"/>
          <w:szCs w:val="32"/>
        </w:rPr>
        <w:t>月</w:t>
      </w:r>
      <w:r>
        <w:rPr>
          <w:rFonts w:hint="eastAsia" w:ascii="仿宋_GB2312" w:eastAsia="仿宋_GB2312" w:cs="Times New Roman"/>
          <w:color w:val="auto"/>
          <w:kern w:val="0"/>
          <w:sz w:val="32"/>
          <w:szCs w:val="32"/>
          <w:lang w:val="en-US" w:eastAsia="zh-CN"/>
        </w:rPr>
        <w:t>13</w:t>
      </w:r>
      <w:r>
        <w:rPr>
          <w:rFonts w:hint="eastAsia" w:ascii="仿宋_GB2312" w:eastAsia="仿宋_GB2312" w:cs="Times New Roman"/>
          <w:color w:val="auto"/>
          <w:kern w:val="0"/>
          <w:sz w:val="32"/>
          <w:szCs w:val="32"/>
        </w:rPr>
        <w:t>日</w:t>
      </w:r>
      <w:r>
        <w:rPr>
          <w:rFonts w:hint="eastAsia" w:ascii="仿宋_GB2312" w:eastAsia="仿宋_GB2312" w:cs="Times New Roman"/>
          <w:color w:val="auto"/>
          <w:kern w:val="0"/>
          <w:sz w:val="32"/>
          <w:szCs w:val="32"/>
          <w:lang w:eastAsia="zh-CN"/>
        </w:rPr>
        <w:t>（</w:t>
      </w:r>
      <w:r>
        <w:rPr>
          <w:rFonts w:hint="eastAsia" w:ascii="仿宋_GB2312" w:eastAsia="仿宋_GB2312" w:cs="Times New Roman"/>
          <w:color w:val="auto"/>
          <w:kern w:val="0"/>
          <w:sz w:val="32"/>
          <w:szCs w:val="32"/>
        </w:rPr>
        <w:t>共</w:t>
      </w:r>
      <w:r>
        <w:rPr>
          <w:rFonts w:hint="eastAsia" w:ascii="仿宋_GB2312" w:eastAsia="仿宋_GB2312" w:cs="Times New Roman"/>
          <w:color w:val="auto"/>
          <w:kern w:val="0"/>
          <w:sz w:val="32"/>
          <w:szCs w:val="32"/>
          <w:lang w:val="en-US" w:eastAsia="zh-CN"/>
        </w:rPr>
        <w:t>10</w:t>
      </w:r>
      <w:r>
        <w:rPr>
          <w:rFonts w:hint="eastAsia" w:ascii="仿宋_GB2312" w:eastAsia="仿宋_GB2312" w:cs="Times New Roman"/>
          <w:color w:val="auto"/>
          <w:kern w:val="0"/>
          <w:sz w:val="32"/>
          <w:szCs w:val="32"/>
        </w:rPr>
        <w:t>个工作日</w:t>
      </w:r>
      <w:r>
        <w:rPr>
          <w:rFonts w:ascii="仿宋_GB2312"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ascii="Times New Roman" w:hAnsi="Times New Roman" w:eastAsia="仿宋_GB2312" w:cs="Times New Roman"/>
          <w:color w:val="auto"/>
          <w:sz w:val="32"/>
          <w:szCs w:val="32"/>
          <w:lang w:val="en-US" w:eastAsia="zh-CN"/>
        </w:rPr>
      </w:pPr>
      <w:r>
        <w:rPr>
          <w:rFonts w:ascii="Times New Roman" w:hAnsi="Times New Roman" w:eastAsia="黑体" w:cs="Times New Roman"/>
          <w:color w:val="auto"/>
          <w:sz w:val="32"/>
          <w:szCs w:val="32"/>
          <w:lang w:val="en-US" w:eastAsia="zh-CN"/>
        </w:rPr>
        <w:t>七、</w:t>
      </w:r>
      <w:r>
        <w:rPr>
          <w:rFonts w:ascii="Times New Roman" w:hAnsi="Times New Roman" w:eastAsia="黑体" w:cs="Times New Roman"/>
          <w:color w:val="auto"/>
          <w:sz w:val="32"/>
          <w:szCs w:val="32"/>
        </w:rPr>
        <w:t>受理部门</w:t>
      </w:r>
      <w:r>
        <w:rPr>
          <w:rFonts w:ascii="Times New Roman" w:hAnsi="Times New Roman" w:eastAsia="黑体" w:cs="Times New Roman"/>
          <w:color w:val="auto"/>
          <w:sz w:val="32"/>
          <w:szCs w:val="32"/>
          <w:lang w:eastAsia="zh-CN"/>
        </w:rPr>
        <w:br w:type="textWrapping"/>
      </w:r>
      <w:r>
        <w:rPr>
          <w:rFonts w:ascii="Times New Roman" w:hAnsi="Times New Roman" w:eastAsia="楷体" w:cs="Times New Roman"/>
          <w:color w:val="auto"/>
          <w:kern w:val="0"/>
          <w:sz w:val="32"/>
          <w:szCs w:val="32"/>
        </w:rPr>
        <w:t>市</w:t>
      </w:r>
      <w:r>
        <w:rPr>
          <w:rFonts w:ascii="Times New Roman" w:hAnsi="Times New Roman" w:eastAsia="仿宋_GB2312" w:cs="Times New Roman"/>
          <w:color w:val="auto"/>
          <w:sz w:val="32"/>
          <w:szCs w:val="32"/>
          <w:lang w:val="en-US" w:eastAsia="zh-CN"/>
        </w:rPr>
        <w:t>生态环境保护和督察工作委员会办公室</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eastAsia="仿宋_GB2312"/>
          <w:color w:val="auto"/>
          <w:sz w:val="32"/>
          <w:szCs w:val="32"/>
        </w:rPr>
      </w:pPr>
      <w:r>
        <w:rPr>
          <w:rFonts w:ascii="Times New Roman" w:hAnsi="Times New Roman" w:eastAsia="黑体" w:cs="Times New Roman"/>
          <w:color w:val="auto"/>
          <w:sz w:val="32"/>
          <w:szCs w:val="32"/>
          <w:lang w:val="en-US" w:eastAsia="zh-CN"/>
        </w:rPr>
        <w:t>八、</w:t>
      </w:r>
      <w:r>
        <w:rPr>
          <w:rFonts w:ascii="Times New Roman" w:hAnsi="Times New Roman" w:eastAsia="黑体" w:cs="Times New Roman"/>
          <w:color w:val="auto"/>
          <w:sz w:val="32"/>
          <w:szCs w:val="32"/>
        </w:rPr>
        <w:t>受理电话</w:t>
      </w:r>
      <w:r>
        <w:rPr>
          <w:rFonts w:ascii="Times New Roman" w:hAnsi="Times New Roman" w:eastAsia="黑体" w:cs="Times New Roman"/>
          <w:color w:val="auto"/>
          <w:sz w:val="32"/>
          <w:szCs w:val="32"/>
        </w:rPr>
        <w:br w:type="textWrapping"/>
      </w:r>
      <w:r>
        <w:rPr>
          <w:rFonts w:hint="eastAsia" w:ascii="仿宋_GB2312" w:hAnsi="仿宋_GB2312" w:eastAsia="仿宋_GB2312" w:cs="仿宋_GB2312"/>
          <w:color w:val="auto"/>
          <w:kern w:val="0"/>
          <w:sz w:val="32"/>
          <w:szCs w:val="32"/>
          <w:lang w:val="en-US" w:eastAsia="zh-CN"/>
        </w:rPr>
        <w:t>0469—6685350</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lang w:val="en-US" w:eastAsia="zh-CN"/>
        </w:rPr>
        <w:t>九、</w:t>
      </w:r>
      <w:r>
        <w:rPr>
          <w:rFonts w:ascii="Times New Roman" w:hAnsi="Times New Roman" w:eastAsia="黑体" w:cs="Times New Roman"/>
          <w:color w:val="auto"/>
          <w:sz w:val="32"/>
          <w:szCs w:val="32"/>
        </w:rPr>
        <w:t>受理地址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双鸭山市尖山区学府街道时代新城二期（双鸭山市生态环境局）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以上整改</w:t>
      </w:r>
      <w:r>
        <w:rPr>
          <w:rFonts w:ascii="Times New Roman" w:hAnsi="Times New Roman" w:eastAsia="仿宋_GB2312" w:cs="Times New Roman"/>
          <w:color w:val="auto"/>
          <w:sz w:val="32"/>
          <w:szCs w:val="32"/>
          <w:lang w:val="en-US" w:eastAsia="zh-CN"/>
        </w:rPr>
        <w:t>验收销号</w:t>
      </w:r>
      <w:r>
        <w:rPr>
          <w:rFonts w:ascii="Times New Roman" w:hAnsi="Times New Roman" w:eastAsia="仿宋_GB2312" w:cs="Times New Roman"/>
          <w:color w:val="auto"/>
          <w:sz w:val="32"/>
          <w:szCs w:val="32"/>
        </w:rPr>
        <w:t>情况向社会公示，如有异议，请以书面或电话形式，向市生态环境保护督察工作委员会办公室反映。邮寄的以</w:t>
      </w:r>
      <w:r>
        <w:rPr>
          <w:rFonts w:hint="eastAsia" w:ascii="Times New Roman" w:hAnsi="Times New Roman" w:eastAsia="仿宋_GB2312" w:cs="Times New Roman"/>
          <w:color w:val="auto"/>
          <w:sz w:val="32"/>
          <w:szCs w:val="32"/>
          <w:lang w:eastAsia="zh-CN"/>
        </w:rPr>
        <w:t>寄出</w:t>
      </w:r>
      <w:r>
        <w:rPr>
          <w:rFonts w:ascii="Times New Roman" w:hAnsi="Times New Roman" w:eastAsia="仿宋_GB2312" w:cs="Times New Roman"/>
          <w:color w:val="auto"/>
          <w:sz w:val="32"/>
          <w:szCs w:val="32"/>
        </w:rPr>
        <w:t>邮戳为准，直接送达的以送达日期为准。</w:t>
      </w:r>
    </w:p>
    <w:p>
      <w:pPr>
        <w:keepNext w:val="0"/>
        <w:keepLines w:val="0"/>
        <w:pageBreakBefore w:val="0"/>
        <w:widowControl w:val="0"/>
        <w:kinsoku/>
        <w:wordWrap/>
        <w:overflowPunct/>
        <w:topLinePunct w:val="0"/>
        <w:autoSpaceDE/>
        <w:autoSpaceDN/>
        <w:bidi w:val="0"/>
        <w:adjustRightInd/>
        <w:snapToGrid/>
        <w:spacing w:line="576" w:lineRule="exact"/>
        <w:ind w:leftChars="1200"/>
        <w:jc w:val="center"/>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双鸭山市生态环境局</w:t>
      </w:r>
    </w:p>
    <w:p>
      <w:pPr>
        <w:keepNext w:val="0"/>
        <w:keepLines w:val="0"/>
        <w:pageBreakBefore w:val="0"/>
        <w:widowControl w:val="0"/>
        <w:kinsoku/>
        <w:wordWrap/>
        <w:overflowPunct/>
        <w:topLinePunct w:val="0"/>
        <w:autoSpaceDE/>
        <w:autoSpaceDN/>
        <w:bidi w:val="0"/>
        <w:adjustRightInd/>
        <w:snapToGrid/>
        <w:spacing w:line="576" w:lineRule="exact"/>
        <w:ind w:leftChars="1200"/>
        <w:jc w:val="center"/>
        <w:textAlignment w:val="auto"/>
        <w:rPr>
          <w:rFonts w:ascii="Times New Roman" w:hAnsi="Times New Roman" w:eastAsia="宋体" w:cs="Times New Roman"/>
          <w:b/>
          <w:bCs/>
          <w:color w:val="auto"/>
          <w:kern w:val="0"/>
          <w:sz w:val="44"/>
          <w:szCs w:val="44"/>
        </w:rPr>
      </w:pPr>
      <w:r>
        <w:rPr>
          <w:rFonts w:hint="eastAsia" w:ascii="Times New Roman" w:hAnsi="Times New Roman" w:eastAsia="仿宋_GB2312" w:cs="Times New Roman"/>
          <w:color w:val="auto"/>
          <w:sz w:val="32"/>
          <w:szCs w:val="32"/>
          <w:u w:val="none"/>
          <w:lang w:val="en-US" w:eastAsia="zh-CN"/>
        </w:rPr>
        <w:t>2026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E2624"/>
    <w:multiLevelType w:val="singleLevel"/>
    <w:tmpl w:val="AF8E262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noPunctuationKerning w:val="true"/>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157FA761"/>
    <w:rsid w:val="17590A09"/>
    <w:rsid w:val="178B99D7"/>
    <w:rsid w:val="1DFEFA1B"/>
    <w:rsid w:val="1ED3A86E"/>
    <w:rsid w:val="1F150AAC"/>
    <w:rsid w:val="27D94A62"/>
    <w:rsid w:val="37BD862C"/>
    <w:rsid w:val="3B7F1720"/>
    <w:rsid w:val="3D153D53"/>
    <w:rsid w:val="3DFF1DBF"/>
    <w:rsid w:val="3E7F82EA"/>
    <w:rsid w:val="3F65EDAE"/>
    <w:rsid w:val="3F756C45"/>
    <w:rsid w:val="3FE94A92"/>
    <w:rsid w:val="4F0F241D"/>
    <w:rsid w:val="5559B8AB"/>
    <w:rsid w:val="56ECC29B"/>
    <w:rsid w:val="577ED67B"/>
    <w:rsid w:val="5A1D07C9"/>
    <w:rsid w:val="5BD9C44D"/>
    <w:rsid w:val="5EEB57DD"/>
    <w:rsid w:val="5F768439"/>
    <w:rsid w:val="5F7FDF87"/>
    <w:rsid w:val="5FB565F7"/>
    <w:rsid w:val="5FDF520C"/>
    <w:rsid w:val="5FDFD038"/>
    <w:rsid w:val="5FE58124"/>
    <w:rsid w:val="5FF65015"/>
    <w:rsid w:val="5FFA4757"/>
    <w:rsid w:val="6B7FF013"/>
    <w:rsid w:val="6DBA45F2"/>
    <w:rsid w:val="6F5E8B1F"/>
    <w:rsid w:val="6FF975BB"/>
    <w:rsid w:val="72FD83A3"/>
    <w:rsid w:val="75BF4F99"/>
    <w:rsid w:val="75BF84C7"/>
    <w:rsid w:val="75FFE55B"/>
    <w:rsid w:val="76FDF49B"/>
    <w:rsid w:val="777F61D8"/>
    <w:rsid w:val="79C74E17"/>
    <w:rsid w:val="7AEF2AED"/>
    <w:rsid w:val="7B3F1EAF"/>
    <w:rsid w:val="7BEFC25D"/>
    <w:rsid w:val="7CFE1A37"/>
    <w:rsid w:val="7D3E024E"/>
    <w:rsid w:val="7E37BE71"/>
    <w:rsid w:val="7EEFD77F"/>
    <w:rsid w:val="7EF6A77E"/>
    <w:rsid w:val="7F3CEAC7"/>
    <w:rsid w:val="7F5C2CC9"/>
    <w:rsid w:val="7F7E521F"/>
    <w:rsid w:val="7FCFD0C4"/>
    <w:rsid w:val="7FDB8B0D"/>
    <w:rsid w:val="7FDDC657"/>
    <w:rsid w:val="7FF51567"/>
    <w:rsid w:val="7FFD0E6A"/>
    <w:rsid w:val="9D777703"/>
    <w:rsid w:val="9EFDA913"/>
    <w:rsid w:val="A5EFA366"/>
    <w:rsid w:val="AE7FFA36"/>
    <w:rsid w:val="AF779FBC"/>
    <w:rsid w:val="AFF3A70F"/>
    <w:rsid w:val="B5BF3663"/>
    <w:rsid w:val="B7DA3164"/>
    <w:rsid w:val="B7FF9720"/>
    <w:rsid w:val="BE7B8BE5"/>
    <w:rsid w:val="BEB6744E"/>
    <w:rsid w:val="BFBFC344"/>
    <w:rsid w:val="BFFB8F0F"/>
    <w:rsid w:val="C71DCFB4"/>
    <w:rsid w:val="CB9BF42C"/>
    <w:rsid w:val="CF75921E"/>
    <w:rsid w:val="CFDBB4A9"/>
    <w:rsid w:val="CFED0DEA"/>
    <w:rsid w:val="D1FF4981"/>
    <w:rsid w:val="D66E93D6"/>
    <w:rsid w:val="D9FF9ACE"/>
    <w:rsid w:val="DADA22C6"/>
    <w:rsid w:val="DDFEE383"/>
    <w:rsid w:val="DEA3E3D1"/>
    <w:rsid w:val="DFD575A2"/>
    <w:rsid w:val="DFDB05CE"/>
    <w:rsid w:val="DFF632CC"/>
    <w:rsid w:val="E3BB24DD"/>
    <w:rsid w:val="E3FF843E"/>
    <w:rsid w:val="E7F7B388"/>
    <w:rsid w:val="E7FF5B55"/>
    <w:rsid w:val="E7FFF6C7"/>
    <w:rsid w:val="E87FB6A9"/>
    <w:rsid w:val="EDE7588B"/>
    <w:rsid w:val="EE7F281F"/>
    <w:rsid w:val="EEFB1385"/>
    <w:rsid w:val="EFFE0407"/>
    <w:rsid w:val="EFFF2263"/>
    <w:rsid w:val="F1F5A659"/>
    <w:rsid w:val="F3AB8281"/>
    <w:rsid w:val="F3BF502E"/>
    <w:rsid w:val="F3D493FD"/>
    <w:rsid w:val="F3FF3F61"/>
    <w:rsid w:val="F4FD3E8E"/>
    <w:rsid w:val="F57FDBAD"/>
    <w:rsid w:val="F73FE9E9"/>
    <w:rsid w:val="F79D5B5F"/>
    <w:rsid w:val="F7CD3942"/>
    <w:rsid w:val="F7EBBAE1"/>
    <w:rsid w:val="F7FBF6CA"/>
    <w:rsid w:val="FACE96A7"/>
    <w:rsid w:val="FAFE272E"/>
    <w:rsid w:val="FBDF53F8"/>
    <w:rsid w:val="FBFBD51B"/>
    <w:rsid w:val="FD6F53F1"/>
    <w:rsid w:val="FDDF8635"/>
    <w:rsid w:val="FEEE6FE7"/>
    <w:rsid w:val="FF572893"/>
    <w:rsid w:val="FF6B70A3"/>
    <w:rsid w:val="FF6E5846"/>
    <w:rsid w:val="FF6F0B18"/>
    <w:rsid w:val="FF6FC151"/>
    <w:rsid w:val="FFAF4B6E"/>
    <w:rsid w:val="FFD77D3A"/>
    <w:rsid w:val="FFDBC875"/>
    <w:rsid w:val="FFDF1C75"/>
    <w:rsid w:val="FFDF4EBC"/>
    <w:rsid w:val="FFEBCBBF"/>
    <w:rsid w:val="FFEE8437"/>
    <w:rsid w:val="FFFD5F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eastAsia="宋体" w:cs="宋体"/>
      <w:sz w:val="32"/>
      <w:szCs w:val="32"/>
    </w:r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 w:type="paragraph" w:styleId="4">
    <w:name w:val="Body Text Indent 2"/>
    <w:basedOn w:val="1"/>
    <w:qFormat/>
    <w:uiPriority w:val="0"/>
    <w:pPr>
      <w:spacing w:after="120" w:line="480" w:lineRule="auto"/>
      <w:ind w:left="420" w:leftChars="200"/>
    </w:pPr>
    <w:rPr>
      <w:rFonts w:hint="eastAsia"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13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2021-05-09T15:28:00Z</dcterms:created>
  <dc:creator>User274</dc:creator>
  <cp:lastModifiedBy>greatwall</cp:lastModifiedBy>
  <cp:lastPrinted>2026-01-28T09:40:32Z</cp:lastPrinted>
  <dcterms:modified xsi:type="dcterms:W3CDTF">2026-01-28T09:45:56Z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