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72F2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0065D7C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379C93D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50339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  <w:t>宝清县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</w:rPr>
        <w:t>年高标准农田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  <w:t>建设项目</w:t>
      </w:r>
    </w:p>
    <w:p w14:paraId="61B74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 w:firstLineChars="10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</w:rPr>
        <w:t>拟立项批复公示</w:t>
      </w:r>
    </w:p>
    <w:p w14:paraId="5944613C">
      <w:pPr>
        <w:pStyle w:val="16"/>
        <w:rPr>
          <w:rFonts w:ascii="仿宋" w:hAnsi="仿宋" w:eastAsia="仿宋" w:cs="仿宋_GB2312"/>
          <w:color w:val="111111"/>
          <w:sz w:val="32"/>
          <w:szCs w:val="32"/>
        </w:rPr>
      </w:pPr>
    </w:p>
    <w:p w14:paraId="65E0FC6E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宝清县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农田建设发展中心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通过政府采购购买服务方式，选定黑龙江永政项目管理有限公司为宝清县202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年高标准农田建设项目初步设计评审单位。根据高标准农田项目管理要求，双鸭山市农业农村局组织开展项目评审，宝清县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高标准农田建设项目参评并通过项目评审。现就宝清县202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拟立项批复相关信息予以公示，公示期为202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日至202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日（共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）。公示期如有异议，请向双鸭山市农业农村局反映。</w:t>
      </w:r>
    </w:p>
    <w:p w14:paraId="138E6D3C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联系电话：0469-8856078</w:t>
      </w:r>
    </w:p>
    <w:p w14:paraId="486D9DFA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宝清县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年高标准农田建设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拟立项批复公示</w:t>
      </w:r>
    </w:p>
    <w:p w14:paraId="7451BEFC">
      <w:pPr>
        <w:widowControl/>
        <w:spacing w:line="420" w:lineRule="atLeast"/>
        <w:ind w:firstLine="480"/>
        <w:jc w:val="right"/>
        <w:rPr>
          <w:rFonts w:ascii="仿宋" w:hAnsi="仿宋" w:eastAsia="仿宋" w:cs="Arial"/>
          <w:color w:val="111111"/>
          <w:kern w:val="0"/>
          <w:sz w:val="24"/>
          <w:szCs w:val="24"/>
        </w:rPr>
      </w:pPr>
    </w:p>
    <w:p w14:paraId="0CDC81C1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双鸭山市农业农村局</w:t>
      </w:r>
    </w:p>
    <w:p w14:paraId="101D7E1C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 202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日</w:t>
      </w:r>
    </w:p>
    <w:p w14:paraId="257A7450"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111111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62E6BB">
      <w:pPr>
        <w:widowControl/>
        <w:jc w:val="center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宝清县</w:t>
      </w:r>
      <w:r>
        <w:rPr>
          <w:rFonts w:ascii="仿宋_GB2312" w:hAnsi="仿宋_GB2312" w:eastAsia="仿宋_GB2312" w:cs="仿宋_GB2312"/>
          <w:b/>
          <w:color w:val="111111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年高标准农田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拟立项批复公示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2506" w:tblpY="3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666"/>
        <w:gridCol w:w="1215"/>
        <w:gridCol w:w="4065"/>
        <w:gridCol w:w="1499"/>
        <w:gridCol w:w="1185"/>
        <w:gridCol w:w="1365"/>
        <w:gridCol w:w="1185"/>
      </w:tblGrid>
      <w:tr w14:paraId="45CC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9" w:type="dxa"/>
            <w:vMerge w:val="restart"/>
            <w:vAlign w:val="center"/>
          </w:tcPr>
          <w:p w14:paraId="5AF6815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序号</w:t>
            </w:r>
          </w:p>
        </w:tc>
        <w:tc>
          <w:tcPr>
            <w:tcW w:w="1666" w:type="dxa"/>
            <w:vMerge w:val="restart"/>
            <w:vAlign w:val="center"/>
          </w:tcPr>
          <w:p w14:paraId="660388E5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项目名称</w:t>
            </w:r>
          </w:p>
        </w:tc>
        <w:tc>
          <w:tcPr>
            <w:tcW w:w="1215" w:type="dxa"/>
            <w:vMerge w:val="restart"/>
            <w:vAlign w:val="center"/>
          </w:tcPr>
          <w:p w14:paraId="369E083E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建设规模（万亩）</w:t>
            </w:r>
          </w:p>
        </w:tc>
        <w:tc>
          <w:tcPr>
            <w:tcW w:w="4065" w:type="dxa"/>
            <w:vMerge w:val="restart"/>
            <w:vAlign w:val="center"/>
          </w:tcPr>
          <w:p w14:paraId="27185CF5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建设地点</w:t>
            </w:r>
          </w:p>
        </w:tc>
        <w:tc>
          <w:tcPr>
            <w:tcW w:w="1499" w:type="dxa"/>
            <w:vMerge w:val="restart"/>
            <w:vAlign w:val="center"/>
          </w:tcPr>
          <w:p w14:paraId="5168C1D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建设单位</w:t>
            </w:r>
          </w:p>
        </w:tc>
        <w:tc>
          <w:tcPr>
            <w:tcW w:w="3735" w:type="dxa"/>
            <w:gridSpan w:val="3"/>
            <w:vAlign w:val="center"/>
          </w:tcPr>
          <w:p w14:paraId="56459FC8">
            <w:pPr>
              <w:spacing w:line="420" w:lineRule="atLeast"/>
              <w:jc w:val="center"/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计划投资（万元）</w:t>
            </w:r>
          </w:p>
        </w:tc>
      </w:tr>
      <w:tr w14:paraId="133C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9" w:type="dxa"/>
            <w:vMerge w:val="continue"/>
            <w:vAlign w:val="center"/>
          </w:tcPr>
          <w:p w14:paraId="3CC291AF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4DBEBE2D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3E7DDA87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4065" w:type="dxa"/>
            <w:vMerge w:val="continue"/>
            <w:vAlign w:val="center"/>
          </w:tcPr>
          <w:p w14:paraId="1B420268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3EBBD47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3A14B31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总投资</w:t>
            </w:r>
          </w:p>
        </w:tc>
        <w:tc>
          <w:tcPr>
            <w:tcW w:w="1365" w:type="dxa"/>
            <w:vAlign w:val="center"/>
          </w:tcPr>
          <w:p w14:paraId="74CDA36A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其中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val="en-US" w:eastAsia="zh-CN"/>
              </w:rPr>
              <w:t>国债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资金</w:t>
            </w:r>
          </w:p>
        </w:tc>
        <w:tc>
          <w:tcPr>
            <w:tcW w:w="1185" w:type="dxa"/>
            <w:vAlign w:val="center"/>
          </w:tcPr>
          <w:p w14:paraId="4CBA69DF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省级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配套资金</w:t>
            </w:r>
          </w:p>
        </w:tc>
      </w:tr>
      <w:tr w14:paraId="14BD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569" w:type="dxa"/>
            <w:shd w:val="clear"/>
            <w:vAlign w:val="center"/>
          </w:tcPr>
          <w:p w14:paraId="0D409A4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66" w:type="dxa"/>
            <w:shd w:val="clear"/>
            <w:vAlign w:val="center"/>
          </w:tcPr>
          <w:p w14:paraId="34418233">
            <w:pPr>
              <w:widowControl/>
              <w:spacing w:line="240" w:lineRule="atLeast"/>
              <w:rPr>
                <w:rFonts w:ascii="宋体" w:hAnsi="Calibri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宝清县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</w:rPr>
              <w:t>2024年高标准农田建设项目</w:t>
            </w:r>
          </w:p>
        </w:tc>
        <w:tc>
          <w:tcPr>
            <w:tcW w:w="1215" w:type="dxa"/>
            <w:shd w:val="clear"/>
            <w:vAlign w:val="center"/>
          </w:tcPr>
          <w:p w14:paraId="39B36C65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9.5</w:t>
            </w:r>
          </w:p>
        </w:tc>
        <w:tc>
          <w:tcPr>
            <w:tcW w:w="4065" w:type="dxa"/>
            <w:shd w:val="clear"/>
            <w:vAlign w:val="center"/>
          </w:tcPr>
          <w:p w14:paraId="7B34F3B8">
            <w:pPr>
              <w:spacing w:line="240" w:lineRule="atLeast"/>
              <w:jc w:val="left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  <w:t>新建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6.5万亩</w:t>
            </w:r>
            <w:r>
              <w:rPr>
                <w:rFonts w:hint="eastAsia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建设地点</w:t>
            </w:r>
            <w:r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  <w:t>位于</w:t>
            </w:r>
            <w:r>
              <w:rPr>
                <w:rFonts w:hint="eastAsia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  <w:t>六道林场和龙头林场。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  <w:t>改造提升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3万亩</w:t>
            </w:r>
            <w:r>
              <w:rPr>
                <w:rFonts w:hint="eastAsia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建设地点位于</w:t>
            </w:r>
            <w:r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  <w:t>宝清县宝清镇十二里村和十八里村；夹信子镇二道村和三道村；万金山乡方胜村。</w:t>
            </w:r>
          </w:p>
        </w:tc>
        <w:tc>
          <w:tcPr>
            <w:tcW w:w="1499" w:type="dxa"/>
            <w:shd w:val="clear"/>
            <w:vAlign w:val="center"/>
          </w:tcPr>
          <w:p w14:paraId="301C7A38"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宝清县农田建设发展中心</w:t>
            </w:r>
          </w:p>
        </w:tc>
        <w:tc>
          <w:tcPr>
            <w:tcW w:w="1185" w:type="dxa"/>
            <w:shd w:val="clear"/>
            <w:vAlign w:val="center"/>
          </w:tcPr>
          <w:p w14:paraId="7CBDDB96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11838.09</w:t>
            </w:r>
          </w:p>
        </w:tc>
        <w:tc>
          <w:tcPr>
            <w:tcW w:w="1365" w:type="dxa"/>
            <w:shd w:val="clear"/>
            <w:vAlign w:val="center"/>
          </w:tcPr>
          <w:p w14:paraId="5CDA5A8C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9974.09</w:t>
            </w:r>
          </w:p>
        </w:tc>
        <w:tc>
          <w:tcPr>
            <w:tcW w:w="1185" w:type="dxa"/>
            <w:shd w:val="clear"/>
            <w:vAlign w:val="center"/>
          </w:tcPr>
          <w:p w14:paraId="65B42974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1864</w:t>
            </w:r>
          </w:p>
        </w:tc>
      </w:tr>
    </w:tbl>
    <w:p w14:paraId="3EC514B1">
      <w:pPr>
        <w:pStyle w:val="3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0C5D8698">
      <w:pP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2F473B59">
      <w:pPr>
        <w:pStyle w:val="2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02B0316B">
      <w:pPr>
        <w:pStyle w:val="3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75D7C7F7">
      <w:pP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50158AA2">
      <w:pPr>
        <w:pStyle w:val="2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71F93233">
      <w:pPr>
        <w:pStyle w:val="3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5FE70074">
      <w:pPr>
        <w:rPr>
          <w:rFonts w:hint="eastAsia"/>
        </w:rPr>
      </w:pPr>
    </w:p>
    <w:p w14:paraId="386D8039">
      <w:pPr>
        <w:rPr>
          <w:rFonts w:hint="eastAsia"/>
        </w:rPr>
      </w:pPr>
    </w:p>
    <w:p w14:paraId="33F81178">
      <w:pPr>
        <w:rPr>
          <w:rFonts w:hint="eastAsia"/>
        </w:rPr>
      </w:pPr>
    </w:p>
    <w:p w14:paraId="2FF19F2E">
      <w:pPr>
        <w:rPr>
          <w:rFonts w:hint="eastAsia"/>
        </w:rPr>
      </w:pPr>
    </w:p>
    <w:p w14:paraId="3C3478B2">
      <w:pPr>
        <w:rPr>
          <w:rFonts w:hint="eastAsia"/>
        </w:rPr>
      </w:pPr>
    </w:p>
    <w:p w14:paraId="1D9CDE5E">
      <w:pPr>
        <w:rPr>
          <w:rFonts w:hint="eastAsia"/>
        </w:rPr>
      </w:pPr>
    </w:p>
    <w:p w14:paraId="4E15D6DA">
      <w:pPr>
        <w:rPr>
          <w:rFonts w:hint="eastAsia"/>
        </w:rPr>
      </w:pPr>
    </w:p>
    <w:p w14:paraId="45AD4322"/>
    <w:p w14:paraId="709956DC">
      <w:pPr>
        <w:ind w:firstLine="420" w:firstLineChars="200"/>
      </w:pPr>
    </w:p>
    <w:p w14:paraId="28A4B58A">
      <w:pPr>
        <w:pStyle w:val="2"/>
      </w:pPr>
    </w:p>
    <w:sectPr>
      <w:pgSz w:w="16838" w:h="11906" w:orient="landscape"/>
      <w:pgMar w:top="1587" w:right="1020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jg4MjEzYzJiMzRjZDk4NjQyODEyMWJhNjI5YjYifQ=="/>
  </w:docVars>
  <w:rsids>
    <w:rsidRoot w:val="00191025"/>
    <w:rsid w:val="00191025"/>
    <w:rsid w:val="002977A6"/>
    <w:rsid w:val="00962623"/>
    <w:rsid w:val="00C57783"/>
    <w:rsid w:val="00FE65E0"/>
    <w:rsid w:val="02461D0C"/>
    <w:rsid w:val="04C26E58"/>
    <w:rsid w:val="05ED01D7"/>
    <w:rsid w:val="06227D17"/>
    <w:rsid w:val="0BB11420"/>
    <w:rsid w:val="0C640784"/>
    <w:rsid w:val="0D632389"/>
    <w:rsid w:val="0E6F0323"/>
    <w:rsid w:val="104D14F9"/>
    <w:rsid w:val="10D426BF"/>
    <w:rsid w:val="12497153"/>
    <w:rsid w:val="17084E70"/>
    <w:rsid w:val="18161F99"/>
    <w:rsid w:val="1B6235CF"/>
    <w:rsid w:val="1D8824B9"/>
    <w:rsid w:val="21AE532C"/>
    <w:rsid w:val="21F1456A"/>
    <w:rsid w:val="2A895E70"/>
    <w:rsid w:val="2B690769"/>
    <w:rsid w:val="2DC86CB0"/>
    <w:rsid w:val="304E29FF"/>
    <w:rsid w:val="33093FF2"/>
    <w:rsid w:val="345D523A"/>
    <w:rsid w:val="36626399"/>
    <w:rsid w:val="39C06CA7"/>
    <w:rsid w:val="3AA27E8C"/>
    <w:rsid w:val="40CF4777"/>
    <w:rsid w:val="42A14768"/>
    <w:rsid w:val="45335B3F"/>
    <w:rsid w:val="4AD65160"/>
    <w:rsid w:val="5146049C"/>
    <w:rsid w:val="52DA4C25"/>
    <w:rsid w:val="5430665F"/>
    <w:rsid w:val="587D3B15"/>
    <w:rsid w:val="589D3954"/>
    <w:rsid w:val="5B1168C1"/>
    <w:rsid w:val="5D6D7849"/>
    <w:rsid w:val="5F773D6A"/>
    <w:rsid w:val="600911C0"/>
    <w:rsid w:val="62483875"/>
    <w:rsid w:val="68407A7D"/>
    <w:rsid w:val="6BA611A0"/>
    <w:rsid w:val="6CC46E6E"/>
    <w:rsid w:val="72711576"/>
    <w:rsid w:val="74AE334F"/>
    <w:rsid w:val="76B93595"/>
    <w:rsid w:val="7F6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99"/>
    <w:rPr>
      <w:rFonts w:cs="Times New Roman"/>
      <w:color w:val="333333"/>
      <w:u w:val="none"/>
    </w:rPr>
  </w:style>
  <w:style w:type="character" w:styleId="12">
    <w:name w:val="Emphasis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333333"/>
      <w:u w:val="none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qFormat/>
    <w:uiPriority w:val="99"/>
  </w:style>
  <w:style w:type="character" w:customStyle="1" w:styleId="18">
    <w:name w:val="批注框文本 Char"/>
    <w:basedOn w:val="10"/>
    <w:link w:val="4"/>
    <w:qFormat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439</Words>
  <Characters>512</Characters>
  <Lines>5</Lines>
  <Paragraphs>1</Paragraphs>
  <TotalTime>1</TotalTime>
  <ScaleCrop>false</ScaleCrop>
  <LinksUpToDate>false</LinksUpToDate>
  <CharactersWithSpaces>585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2020-04-09T07:10:00Z</dcterms:created>
  <dc:creator>双鸭山市农业农村局</dc:creator>
  <cp:lastModifiedBy>关玉玲</cp:lastModifiedBy>
  <cp:lastPrinted>2024-11-20T01:08:00Z</cp:lastPrinted>
  <dcterms:modified xsi:type="dcterms:W3CDTF">2024-11-21T02:16:22Z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9508CE3CC5E943C6984C5A0241C89F2A_13</vt:lpwstr>
  </property>
</Properties>
</file>