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生态环境局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（以下简称《条例》）、《国务院办公厅政府信息与政务公开办公室关于印发〈中华人民共和国政府信息公开工作年度报告格式〉的通知》（国办公开办函〔2021〕30号）要求，现发布《双鸭山市生态环境局2024年度政府信息公开工作年度报告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生态环境局认真贯彻执行《条例》内容和要求，坚持以公开为常态，不公开为例外，紧密结合工作实际，不断完善政府信息公开制度，深入推进信息公开工作，深化公开内容，加强信息发布、解读，进一步提升依法行政的能力和水平，保障了人民群众知情权、参与权、监督权。2025年，我局官网向社会公开各类信息201条，其中，环境质量信息28条、政务信息43条、环境处罚案件52件、建设项目环境影响评价和环评审批信息30条、热点专题48条。此外，还通过官方微博和官方微信公众号，及时发布政府明确应该公开的信息，2025年在微信公众号和微博上开通“执法大练兵”“六五环境日”等专栏，发布原创稿件188篇，其中50篇稿件被中国环境报、黑龙江日报、生态环境部、省厅、央广网等转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坚持信息依申请公开制度各项规程和要求，不断完善各环节流程，明确依申请公开信息工作的职责、审查程序、公开方式、时限要求和追究方法等，并坚持依法受理，依法依规满足申请人获取政府信息的需求。2025年，收到政府信息公开申请14件，已全部办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明确局内部科室政府信息公开工作职责，并指派专人进行信息审核。二是贯彻落实规范公文公开源头管理工作要求，进一步加强公文公开审查。三是加强信息发布前审核，确保发布的信息规范、及时、完整、正确。做好政府信息管理动态调整，定期排查清理失效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网站建设与规范化管理，优化网站栏目设置，丰富网站数据展现形式，提高数据发布解读力度。安排专人定期维护政府信息公开平台，切实做到信息分类放置、动态调整、及时更新。持续推进“双鸭山生态环境保护”政务微信、“双鸭山生态环境保护”政务微博等新媒体的完善与运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健全工作监督和保障机制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成立了由局长任组长的政务公开工作领导小组，明确有关部门的职责分工，确保信息公开工作有序开展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积极派员参加全市政务公开业务培训，进一步提升业务人员政务公开工作能力和水平。结合实际将政务公开工作推进情况纳入局内部绩效考评，促进政务公开工作落实。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808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352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9"/>
        <w:gridCol w:w="2137"/>
        <w:gridCol w:w="1262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信息内容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本年新制作数量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本年新公开数量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规章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规范性文件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信息内容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本年减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行政许可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521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205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信息内容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本年增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行政处罚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42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行政强制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信息内容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3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3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信息内容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采购项目数量</w:t>
            </w:r>
          </w:p>
        </w:tc>
        <w:tc>
          <w:tcPr>
            <w:tcW w:w="3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政府集中采购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15</w:t>
            </w:r>
          </w:p>
        </w:tc>
        <w:tc>
          <w:tcPr>
            <w:tcW w:w="3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spacing w:val="0"/>
                <w:kern w:val="2"/>
                <w:sz w:val="21"/>
                <w:szCs w:val="24"/>
                <w:lang w:val="en-US" w:eastAsia="zh-CN"/>
              </w:rPr>
              <w:t>268246元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64" w:firstLineChars="200"/>
        <w:jc w:val="both"/>
        <w:rPr>
          <w:rFonts w:hint="eastAsia" w:ascii="黑体" w:hAnsi="宋体" w:eastAsia="黑体" w:cs="黑体"/>
          <w:snapToGrid w:val="0"/>
          <w:color w:val="000000"/>
          <w:spacing w:val="6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64" w:firstLineChars="200"/>
        <w:jc w:val="both"/>
        <w:rPr>
          <w:rFonts w:hint="eastAsia" w:ascii="黑体" w:hAnsi="宋体" w:eastAsia="黑体" w:cs="黑体"/>
          <w:snapToGrid w:val="0"/>
          <w:color w:val="000000"/>
          <w:spacing w:val="6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napToGrid w:val="0"/>
          <w:color w:val="000000"/>
          <w:spacing w:val="6"/>
          <w:kern w:val="2"/>
          <w:sz w:val="32"/>
          <w:szCs w:val="32"/>
          <w:lang w:val="en-US" w:eastAsia="zh-CN"/>
        </w:rPr>
        <w:t>三、收到和处理政府信息公开申请情况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090"/>
        <w:gridCol w:w="1827"/>
        <w:gridCol w:w="769"/>
        <w:gridCol w:w="720"/>
        <w:gridCol w:w="720"/>
        <w:gridCol w:w="769"/>
        <w:gridCol w:w="891"/>
        <w:gridCol w:w="656"/>
        <w:gridCol w:w="7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2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7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7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商业企业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科研机构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29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属于国家秘密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其他法律行政法规禁止公开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危及“三安全一稳定”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保护第三方合法权益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属于三类内部事务信息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属于四类过程性信息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属于行政执法案卷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属于行政查询事项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本机关不掌握相关政府信息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没有现成信息需要另行制作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补正后申请内容仍不明确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信访举报投诉类申请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重复申请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要求提供公开出版物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无正当理由大量反复申请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要求行政机关确认或重新出具已获取信息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64" w:firstLineChars="200"/>
        <w:jc w:val="both"/>
        <w:rPr>
          <w:rFonts w:hint="eastAsia" w:ascii="黑体" w:hAnsi="宋体" w:eastAsia="黑体" w:cs="黑体"/>
          <w:snapToGrid w:val="0"/>
          <w:color w:val="000000"/>
          <w:spacing w:val="6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64" w:firstLineChars="200"/>
        <w:jc w:val="both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snapToGrid w:val="0"/>
          <w:color w:val="000000"/>
          <w:spacing w:val="6"/>
          <w:kern w:val="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601"/>
        <w:gridCol w:w="601"/>
        <w:gridCol w:w="601"/>
        <w:gridCol w:w="662"/>
        <w:gridCol w:w="542"/>
        <w:gridCol w:w="602"/>
        <w:gridCol w:w="602"/>
        <w:gridCol w:w="602"/>
        <w:gridCol w:w="632"/>
        <w:gridCol w:w="602"/>
        <w:gridCol w:w="602"/>
        <w:gridCol w:w="602"/>
        <w:gridCol w:w="602"/>
        <w:gridCol w:w="6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尽管我局在政务公开领域已取得一定成果，但也存在一些问题，一是公开内容的深度和解读形式的丰富性有待提升；二是政务公开平台与群众的互动性有待加强；三是部分领域信息的公开时效性仍需提高。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下一步，我局将围绕全市生态环境工作，从以下三个方面提升政府信息公开水平：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提能力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。积极参加市政府组织的政府信息公开培训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强化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政策解读、公文写作与新媒体实务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，不断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提升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政府信息公开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实战技能。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二、丰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内容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丰富政策解读形式，建立“文字+图文+短视频+现场解读”的多元解读机制，围绕生态环境领域重点政策，邀请业务骨干、专家开展解读，将专业政策转化为通俗语言，提升解读实效。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严流程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强化发布全流程管理。严格落实 “三审三校” 审核制度，从源头上保障发布信息的精准性与权威性。进一步明确信息公开时限要求，优化内部流转审批流程，确保各类信息依规及时对外发布。建立常态化读网纠错工作机制，动态排查整改问题，持续巩固和提升信息发布质量。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34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无其他需要报告的事项。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8F9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spacing w:val="6"/>
      <w:kern w:val="0"/>
      <w:sz w:val="36"/>
      <w:szCs w:val="36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kinsoku w:val="0"/>
      <w:autoSpaceDE w:val="0"/>
      <w:autoSpaceDN w:val="0"/>
      <w:adjustRightInd w:val="0"/>
      <w:snapToGrid w:val="0"/>
      <w:jc w:val="both"/>
      <w:textAlignment w:val="baseline"/>
    </w:pPr>
    <w:rPr>
      <w:rFonts w:ascii="仿宋" w:hAnsi="Calibri" w:eastAsia="仿宋" w:cs="仿宋"/>
      <w:snapToGrid w:val="0"/>
      <w:color w:val="000000"/>
      <w:kern w:val="2"/>
      <w:sz w:val="29"/>
      <w:szCs w:val="2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2321</Words>
  <Characters>2391</Characters>
  <Paragraphs>405</Paragraphs>
  <TotalTime>105</TotalTime>
  <ScaleCrop>false</ScaleCrop>
  <LinksUpToDate>false</LinksUpToDate>
  <CharactersWithSpaces>2395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2024-10-17T09:13:00Z</dcterms:created>
  <dc:creator>WIN7</dc:creator>
  <cp:lastModifiedBy>greatwall</cp:lastModifiedBy>
  <dcterms:modified xsi:type="dcterms:W3CDTF">2026-01-20T10:12:06Z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34042847FDF649C198B59382BF0A8BAA_12</vt:lpwstr>
  </property>
  <property fmtid="{D5CDD505-2E9C-101B-9397-08002B2CF9AE}" pid="4" name="KSOTemplateDocerSaveRecord">
    <vt:lpwstr>eyJoZGlkIjoiMWE3NDEyZDMzZjMzMTY5NTY4ZDY5ZjA5YjJhYmU0NjEiLCJ1c2VySWQiOiI3NjYwNjI5MjMifQ==</vt:lpwstr>
  </property>
</Properties>
</file>